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Look w:val="04A0" w:firstRow="1" w:lastRow="0" w:firstColumn="1" w:lastColumn="0" w:noHBand="0" w:noVBand="1"/>
      </w:tblPr>
      <w:tblGrid>
        <w:gridCol w:w="10598"/>
      </w:tblGrid>
      <w:tr w:rsidR="007F20B4" w:rsidTr="007F20B4">
        <w:trPr>
          <w:trHeight w:val="388"/>
        </w:trPr>
        <w:tc>
          <w:tcPr>
            <w:tcW w:w="10598" w:type="dxa"/>
            <w:vAlign w:val="center"/>
          </w:tcPr>
          <w:p w:rsidR="007F20B4" w:rsidRPr="006E3D6D" w:rsidRDefault="007F20B4" w:rsidP="003439AE">
            <w:pPr>
              <w:pStyle w:val="BodyText2"/>
              <w:spacing w:before="120" w:line="240" w:lineRule="auto"/>
              <w:jc w:val="center"/>
              <w:rPr>
                <w:rFonts w:ascii="Arial" w:hAnsi="Arial" w:cs="Arial"/>
                <w:bCs/>
                <w:sz w:val="36"/>
                <w:szCs w:val="36"/>
              </w:rPr>
            </w:pPr>
            <w:r w:rsidRPr="006E3D6D">
              <w:rPr>
                <w:rFonts w:ascii="Arial" w:hAnsi="Arial" w:cs="Arial"/>
                <w:bCs/>
                <w:sz w:val="36"/>
                <w:szCs w:val="36"/>
              </w:rPr>
              <w:t>Much Wenlock &amp; Cressage Medical Practice</w:t>
            </w:r>
          </w:p>
          <w:p w:rsidR="007F20B4" w:rsidRPr="008A3557" w:rsidRDefault="007F20B4" w:rsidP="006E3D6D">
            <w:pPr>
              <w:pStyle w:val="BodyText2"/>
              <w:spacing w:before="120" w:line="240" w:lineRule="auto"/>
              <w:rPr>
                <w:rFonts w:ascii="Arial" w:hAnsi="Arial" w:cs="Arial"/>
                <w:bCs/>
                <w:i/>
              </w:rPr>
            </w:pPr>
          </w:p>
        </w:tc>
      </w:tr>
    </w:tbl>
    <w:p w:rsidR="00381511" w:rsidRPr="008A3557" w:rsidRDefault="00381511" w:rsidP="00381511">
      <w:pPr>
        <w:rPr>
          <w:lang w:val="en-GB"/>
        </w:rPr>
      </w:pPr>
    </w:p>
    <w:p w:rsidR="00381511" w:rsidRPr="008701F7" w:rsidRDefault="000B529E" w:rsidP="008701F7">
      <w:pPr>
        <w:jc w:val="center"/>
        <w:rPr>
          <w:b/>
          <w:bCs/>
          <w:color w:val="365F91" w:themeColor="accent1" w:themeShade="BF"/>
          <w:sz w:val="40"/>
          <w:szCs w:val="40"/>
        </w:rPr>
      </w:pPr>
      <w:r w:rsidRPr="008701F7">
        <w:rPr>
          <w:b/>
          <w:bCs/>
          <w:color w:val="365F91" w:themeColor="accent1" w:themeShade="BF"/>
          <w:sz w:val="40"/>
          <w:szCs w:val="40"/>
        </w:rPr>
        <w:t>Online Services</w:t>
      </w:r>
      <w:r w:rsidR="00381511" w:rsidRPr="008701F7">
        <w:rPr>
          <w:b/>
          <w:bCs/>
          <w:color w:val="365F91" w:themeColor="accent1" w:themeShade="BF"/>
          <w:sz w:val="40"/>
          <w:szCs w:val="40"/>
        </w:rPr>
        <w:t xml:space="preserve"> Records Access</w:t>
      </w:r>
    </w:p>
    <w:p w:rsidR="00381511" w:rsidRPr="008701F7" w:rsidRDefault="00381511" w:rsidP="008701F7">
      <w:pPr>
        <w:jc w:val="center"/>
        <w:rPr>
          <w:b/>
          <w:bCs/>
          <w:color w:val="365F91" w:themeColor="accent1" w:themeShade="BF"/>
          <w:sz w:val="40"/>
          <w:szCs w:val="40"/>
        </w:rPr>
      </w:pPr>
      <w:r w:rsidRPr="008701F7">
        <w:rPr>
          <w:b/>
          <w:bCs/>
          <w:color w:val="365F91" w:themeColor="accent1" w:themeShade="BF"/>
          <w:sz w:val="40"/>
          <w:szCs w:val="40"/>
        </w:rPr>
        <w:t>Patient information leaflet ‘It’s your choice’</w:t>
      </w:r>
    </w:p>
    <w:p w:rsidR="001D01D9" w:rsidRPr="008701F7" w:rsidRDefault="001D01D9" w:rsidP="00381511">
      <w:pPr>
        <w:rPr>
          <w:sz w:val="40"/>
          <w:szCs w:val="40"/>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8701F7">
        <w:trPr>
          <w:trHeight w:val="10502"/>
        </w:trPr>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ou can now use the internet to book appointments with a GP</w:t>
            </w:r>
            <w:r w:rsidR="006E1DE0">
              <w:rPr>
                <w:rFonts w:ascii="Arial" w:hAnsi="Arial" w:cs="Arial"/>
                <w:sz w:val="22"/>
                <w:szCs w:val="22"/>
                <w:lang w:val="en-GB"/>
              </w:rPr>
              <w:t xml:space="preserve"> or for blood tests with the Health Care Assistants</w:t>
            </w:r>
            <w:r w:rsidR="00594142" w:rsidRPr="001D01D9">
              <w:rPr>
                <w:rFonts w:ascii="Arial" w:hAnsi="Arial" w:cs="Arial"/>
                <w:sz w:val="22"/>
                <w:szCs w:val="22"/>
                <w:lang w:val="en-GB"/>
              </w:rPr>
              <w:t xml:space="preserve">,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8701F7" w:rsidP="001D01D9">
            <w:pPr>
              <w:pStyle w:val="BodyText"/>
              <w:spacing w:before="0" w:after="0" w:line="240" w:lineRule="auto"/>
              <w:rPr>
                <w:rFonts w:asciiTheme="minorBidi" w:hAnsiTheme="minorBidi" w:cstheme="minorBidi"/>
                <w:b/>
                <w:iCs/>
                <w:color w:val="365F91" w:themeColor="accent1" w:themeShade="BF"/>
                <w:sz w:val="22"/>
                <w:szCs w:val="22"/>
                <w:lang w:val="en-GB"/>
              </w:rPr>
            </w:pPr>
            <w:r w:rsidRPr="00D77231">
              <w:rPr>
                <w:rFonts w:asciiTheme="minorBidi" w:hAnsiTheme="minorBidi" w:cstheme="minorBidi"/>
                <w:b/>
                <w:iCs/>
                <w:noProof/>
                <w:color w:val="365F91" w:themeColor="accent1" w:themeShade="BF"/>
                <w:sz w:val="22"/>
                <w:szCs w:val="22"/>
                <w:lang w:val="en-GB"/>
              </w:rPr>
              <mc:AlternateContent>
                <mc:Choice Requires="wps">
                  <w:drawing>
                    <wp:anchor distT="0" distB="0" distL="114300" distR="114300" simplePos="0" relativeHeight="251662336" behindDoc="0" locked="0" layoutInCell="1" allowOverlap="1" wp14:anchorId="247F8F55" wp14:editId="4CAA85D2">
                      <wp:simplePos x="0" y="0"/>
                      <wp:positionH relativeFrom="column">
                        <wp:posOffset>81915</wp:posOffset>
                      </wp:positionH>
                      <wp:positionV relativeFrom="paragraph">
                        <wp:posOffset>88900</wp:posOffset>
                      </wp:positionV>
                      <wp:extent cx="3079115" cy="1146810"/>
                      <wp:effectExtent l="0" t="0" r="2603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146810"/>
                              </a:xfrm>
                              <a:prstGeom prst="rect">
                                <a:avLst/>
                              </a:prstGeom>
                              <a:solidFill>
                                <a:srgbClr val="FFFFFF"/>
                              </a:solidFill>
                              <a:ln w="9525">
                                <a:solidFill>
                                  <a:srgbClr val="000000"/>
                                </a:solidFill>
                                <a:miter lim="800000"/>
                                <a:headEnd/>
                                <a:tailEnd/>
                              </a:ln>
                            </wps:spPr>
                            <wps:txbx>
                              <w:txbxContent>
                                <w:p w:rsidR="00D77231" w:rsidRPr="00D77231" w:rsidRDefault="00D77231" w:rsidP="00D77231">
                                  <w:pPr>
                                    <w:rPr>
                                      <w:b/>
                                    </w:rPr>
                                  </w:pPr>
                                  <w:r w:rsidRPr="00D77231">
                                    <w:rPr>
                                      <w:b/>
                                    </w:rPr>
                                    <w:t>IF YOU</w:t>
                                  </w:r>
                                  <w:r>
                                    <w:rPr>
                                      <w:b/>
                                    </w:rPr>
                                    <w:t xml:space="preserve"> ARE</w:t>
                                  </w:r>
                                  <w:r w:rsidRPr="00D77231">
                                    <w:rPr>
                                      <w:b/>
                                    </w:rPr>
                                    <w:t xml:space="preserve"> CONCERNED YOU MAY BE FORCED INTO REVEALING DETAILS ABOUT YOUR PATIENT RECORD TO SOMEONE ELSE AGAINST YOUR WILL PLEASE DO NOT REGISTER AT THIS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7pt;width:242.45pt;height: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">
                      <v:textbox>
                        <w:txbxContent>
                          <w:p w:rsidR="00D77231" w:rsidRPr="00D77231" w:rsidRDefault="00D77231" w:rsidP="00D77231">
                            <w:pPr>
                              <w:rPr>
                                <w:b/>
                              </w:rPr>
                            </w:pPr>
                            <w:r w:rsidRPr="00D77231">
                              <w:rPr>
                                <w:b/>
                              </w:rPr>
                              <w:t>IF YOU</w:t>
                            </w:r>
                            <w:r>
                              <w:rPr>
                                <w:b/>
                              </w:rPr>
                              <w:t xml:space="preserve"> ARE</w:t>
                            </w:r>
                            <w:r w:rsidRPr="00D77231">
                              <w:rPr>
                                <w:b/>
                              </w:rPr>
                              <w:t xml:space="preserve"> CONCERNED YOU MAY BE FORCED INTO REVEALING DETAILS ABOUT YOUR PATIENT RECORD TO SOMEONE ELSE AGAINST YOUR WILL PLEASE DO NOT REGISTER AT THIS TIME</w:t>
                            </w:r>
                          </w:p>
                        </w:txbxContent>
                      </v:textbox>
                    </v:shape>
                  </w:pict>
                </mc:Fallback>
              </mc:AlternateConten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D77231" w:rsidRDefault="00D77231" w:rsidP="001D01D9">
            <w:pPr>
              <w:pStyle w:val="BodyText"/>
              <w:spacing w:before="0" w:after="0" w:line="240" w:lineRule="auto"/>
              <w:rPr>
                <w:rFonts w:ascii="Arial" w:hAnsi="Arial" w:cs="Arial"/>
                <w:b/>
                <w:bCs/>
                <w:szCs w:val="24"/>
                <w:lang w:val="en-GB"/>
              </w:rPr>
            </w:pPr>
          </w:p>
          <w:p w:rsidR="008701F7" w:rsidRDefault="008701F7" w:rsidP="001D01D9">
            <w:pPr>
              <w:pStyle w:val="BodyText"/>
              <w:spacing w:before="0" w:after="0" w:line="240" w:lineRule="auto"/>
              <w:rPr>
                <w:rFonts w:ascii="Arial" w:hAnsi="Arial" w:cs="Arial"/>
                <w:b/>
                <w:bCs/>
                <w:szCs w:val="24"/>
                <w:lang w:val="en-GB"/>
              </w:rPr>
            </w:pPr>
          </w:p>
          <w:p w:rsidR="008701F7" w:rsidRDefault="008701F7" w:rsidP="001D01D9">
            <w:pPr>
              <w:pStyle w:val="BodyText"/>
              <w:spacing w:before="0" w:after="0" w:line="240" w:lineRule="auto"/>
              <w:rPr>
                <w:rFonts w:ascii="Arial" w:hAnsi="Arial" w:cs="Arial"/>
                <w:b/>
                <w:bCs/>
                <w:szCs w:val="24"/>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42EE59FF" wp14:editId="4CFF6CD1">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bookmarkStart w:id="1" w:name="_GoBack"/>
            <w:bookmarkEnd w:id="1"/>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6A4A61" w:rsidRDefault="006A4A61" w:rsidP="002B1032">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345F62" w:rsidRPr="001101FB" w:rsidRDefault="00345F62" w:rsidP="006A4A61">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46" w:rsidRDefault="00574D46" w:rsidP="00982EB1">
      <w:r>
        <w:separator/>
      </w:r>
    </w:p>
  </w:endnote>
  <w:endnote w:type="continuationSeparator" w:id="0">
    <w:p w:rsidR="00574D46" w:rsidRDefault="00574D46"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0B529E">
      <w:rPr>
        <w:sz w:val="18"/>
        <w:szCs w:val="18"/>
      </w:rPr>
      <w:t>v4  17</w:t>
    </w:r>
    <w:proofErr w:type="gramEnd"/>
    <w:r w:rsidR="000B529E">
      <w:rPr>
        <w:sz w:val="18"/>
        <w:szCs w:val="18"/>
      </w:rPr>
      <w:t xml:space="preserve"> February</w:t>
    </w:r>
    <w:r w:rsidR="000B529E" w:rsidRPr="004C4758">
      <w:rPr>
        <w:sz w:val="18"/>
        <w:szCs w:val="18"/>
      </w:rPr>
      <w:t xml:space="preserve"> 2015</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roofErr w:type="gramStart"/>
    <w:r w:rsidR="000B529E">
      <w:rPr>
        <w:sz w:val="18"/>
        <w:szCs w:val="18"/>
      </w:rPr>
      <w:t>v</w:t>
    </w:r>
    <w:r w:rsidR="002B1032">
      <w:rPr>
        <w:sz w:val="18"/>
        <w:szCs w:val="18"/>
      </w:rPr>
      <w:t>5</w:t>
    </w:r>
    <w:r w:rsidR="000B529E">
      <w:rPr>
        <w:sz w:val="18"/>
        <w:szCs w:val="18"/>
      </w:rPr>
      <w:t xml:space="preserve">  17</w:t>
    </w:r>
    <w:proofErr w:type="gramEnd"/>
    <w:r w:rsidR="000B529E">
      <w:rPr>
        <w:sz w:val="18"/>
        <w:szCs w:val="18"/>
      </w:rPr>
      <w:t xml:space="preserve"> February</w:t>
    </w:r>
    <w:r w:rsidR="004C4758" w:rsidRPr="004C4758">
      <w:rPr>
        <w:sz w:val="18"/>
        <w:szCs w:val="18"/>
      </w:rPr>
      <w:t xml:space="preserve"> 20</w:t>
    </w:r>
    <w:r w:rsidR="002B1032">
      <w:rPr>
        <w:sz w:val="18"/>
        <w:szCs w:val="18"/>
      </w:rPr>
      <w:t>16</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46" w:rsidRDefault="00574D46" w:rsidP="00982EB1">
      <w:r>
        <w:separator/>
      </w:r>
    </w:p>
  </w:footnote>
  <w:footnote w:type="continuationSeparator" w:id="0">
    <w:p w:rsidR="00574D46" w:rsidRDefault="00574D46"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B1032"/>
    <w:rsid w:val="002C4EEF"/>
    <w:rsid w:val="002C59FD"/>
    <w:rsid w:val="002D5FD4"/>
    <w:rsid w:val="002E343C"/>
    <w:rsid w:val="002F6D1A"/>
    <w:rsid w:val="00305DD9"/>
    <w:rsid w:val="00335695"/>
    <w:rsid w:val="00337D47"/>
    <w:rsid w:val="003439AE"/>
    <w:rsid w:val="00345F62"/>
    <w:rsid w:val="00353636"/>
    <w:rsid w:val="00354F9A"/>
    <w:rsid w:val="00367BC5"/>
    <w:rsid w:val="003774A8"/>
    <w:rsid w:val="00381511"/>
    <w:rsid w:val="003818C5"/>
    <w:rsid w:val="00383CA4"/>
    <w:rsid w:val="00394D68"/>
    <w:rsid w:val="003E48C4"/>
    <w:rsid w:val="00410D36"/>
    <w:rsid w:val="004164FB"/>
    <w:rsid w:val="0043389F"/>
    <w:rsid w:val="004747CB"/>
    <w:rsid w:val="00485E0C"/>
    <w:rsid w:val="00486A1A"/>
    <w:rsid w:val="004C4758"/>
    <w:rsid w:val="004D74A5"/>
    <w:rsid w:val="004F0DAC"/>
    <w:rsid w:val="00501C0A"/>
    <w:rsid w:val="005172AB"/>
    <w:rsid w:val="00527C98"/>
    <w:rsid w:val="00546A72"/>
    <w:rsid w:val="00574D46"/>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A4A61"/>
    <w:rsid w:val="006C1F9A"/>
    <w:rsid w:val="006D03CF"/>
    <w:rsid w:val="006E1DE0"/>
    <w:rsid w:val="006E3D6D"/>
    <w:rsid w:val="006E718E"/>
    <w:rsid w:val="006F5F6D"/>
    <w:rsid w:val="00703061"/>
    <w:rsid w:val="00705C93"/>
    <w:rsid w:val="00712CDC"/>
    <w:rsid w:val="00714AA6"/>
    <w:rsid w:val="00755441"/>
    <w:rsid w:val="00756AC7"/>
    <w:rsid w:val="00777F57"/>
    <w:rsid w:val="007C29FE"/>
    <w:rsid w:val="007C5A9C"/>
    <w:rsid w:val="007E0813"/>
    <w:rsid w:val="007F1CEF"/>
    <w:rsid w:val="007F20B4"/>
    <w:rsid w:val="007F2CE7"/>
    <w:rsid w:val="007F70C4"/>
    <w:rsid w:val="0081567C"/>
    <w:rsid w:val="00816D28"/>
    <w:rsid w:val="00822919"/>
    <w:rsid w:val="00836A2D"/>
    <w:rsid w:val="008701F7"/>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52E73"/>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77231"/>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19B3-1E79-4EE5-BF74-BF01971B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emis_user</cp:lastModifiedBy>
  <cp:revision>9</cp:revision>
  <cp:lastPrinted>2016-03-10T13:34:00Z</cp:lastPrinted>
  <dcterms:created xsi:type="dcterms:W3CDTF">2015-03-18T09:55:00Z</dcterms:created>
  <dcterms:modified xsi:type="dcterms:W3CDTF">2016-03-10T13:34:00Z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